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09906AB7" w:rsidR="00E73B5F" w:rsidRDefault="00B24A40" w:rsidP="00E73B5F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45A9440" wp14:editId="3605BF5F">
            <wp:extent cx="1713230" cy="694690"/>
            <wp:effectExtent l="0" t="0" r="1270" b="0"/>
            <wp:docPr id="68023050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30503" name="Imagen 1" descr="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1A93488B" w14:textId="006BB810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Default="008E6593" w:rsidP="00E73B5F">
      <w:pPr>
        <w:jc w:val="both"/>
      </w:pPr>
    </w:p>
    <w:p w14:paraId="6AAB1E3C" w14:textId="4BA1A5F8" w:rsidR="005A6882" w:rsidRDefault="005A6882" w:rsidP="00E73B5F">
      <w:pPr>
        <w:jc w:val="both"/>
      </w:pPr>
      <w:r>
        <w:t xml:space="preserve">Las facultades, obligaciones y funciones se encuentran establecidas en el Capítulo cuarto, </w:t>
      </w:r>
      <w:r w:rsidRPr="00E73B5F">
        <w:rPr>
          <w:b/>
          <w:bCs/>
        </w:rPr>
        <w:t>Artículo</w:t>
      </w:r>
      <w:r>
        <w:t xml:space="preserve"> </w:t>
      </w:r>
      <w:r w:rsidRPr="00E73B5F">
        <w:rPr>
          <w:b/>
          <w:bCs/>
        </w:rPr>
        <w:t>108 de la Ley Orgánica Municipal para el Estado de Hidalgo</w:t>
      </w:r>
      <w:r>
        <w:t xml:space="preserve"> Los municipios organizarán y reglamentarán la administración, funcionamiento, conservación o explotación de los servicios públicos. Se consideran, enunciativa y no limitativamente como tales, los siguientes:</w:t>
      </w:r>
    </w:p>
    <w:p w14:paraId="15A6F03A" w14:textId="77777777" w:rsidR="00850B4F" w:rsidRPr="00E73B5F" w:rsidRDefault="00850B4F" w:rsidP="005A6882">
      <w:pPr>
        <w:jc w:val="both"/>
        <w:rPr>
          <w:b/>
          <w:bCs/>
        </w:rPr>
      </w:pPr>
    </w:p>
    <w:p w14:paraId="6D6825D4" w14:textId="77777777" w:rsidR="005A6882" w:rsidRPr="00E73B5F" w:rsidRDefault="005A6882" w:rsidP="005A6882">
      <w:pPr>
        <w:jc w:val="both"/>
        <w:rPr>
          <w:b/>
          <w:bCs/>
        </w:rPr>
      </w:pPr>
      <w:r w:rsidRPr="00E73B5F">
        <w:rPr>
          <w:b/>
          <w:bCs/>
        </w:rPr>
        <w:t>VI. Rastro;</w:t>
      </w:r>
    </w:p>
    <w:p w14:paraId="3518A547" w14:textId="77777777" w:rsidR="005A6882" w:rsidRDefault="005A6882" w:rsidP="005A6882">
      <w:pPr>
        <w:jc w:val="both"/>
      </w:pPr>
    </w:p>
    <w:p w14:paraId="5774C665" w14:textId="77777777" w:rsidR="005A6882" w:rsidRDefault="005A6882" w:rsidP="005A6882">
      <w:pPr>
        <w:jc w:val="both"/>
      </w:pPr>
    </w:p>
    <w:p w14:paraId="35EC044F" w14:textId="77777777" w:rsidR="005A6882" w:rsidRDefault="005A6882" w:rsidP="005A6882">
      <w:pPr>
        <w:pStyle w:val="Prrafodelista"/>
        <w:numPr>
          <w:ilvl w:val="0"/>
          <w:numId w:val="2"/>
        </w:numPr>
        <w:jc w:val="both"/>
      </w:pPr>
      <w:r>
        <w:t xml:space="preserve">ARTÍCULO 118.- Corresponde al Titular del Rastro Municipal, procurar que la matanza del ganado y aves se realice bajo su control, con observancia de las disposiciones sanitarias, vigilar que se paguen las contribuciones y se ponga el sello correspondiente para la circulación de carnes. Vigilar el adecuado funcionamiento de los rastros operados por particulares y procurar que se cumpla con la Hacienda Municipal y las demás disposiciones vigentes. </w:t>
      </w:r>
    </w:p>
    <w:p w14:paraId="28603FC0" w14:textId="5AF7733F" w:rsidR="005A6882" w:rsidRDefault="005A6882"/>
    <w:sectPr w:rsidR="005A6882" w:rsidSect="00E73B5F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0"/>
  </w:num>
  <w:num w:numId="2" w16cid:durableId="31742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585A01"/>
    <w:rsid w:val="005A6882"/>
    <w:rsid w:val="005E624B"/>
    <w:rsid w:val="00610F5F"/>
    <w:rsid w:val="006D54E5"/>
    <w:rsid w:val="00850B4F"/>
    <w:rsid w:val="008E6593"/>
    <w:rsid w:val="00A5417F"/>
    <w:rsid w:val="00B24A40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Rodrigo Suarez Aranzolo</cp:lastModifiedBy>
  <cp:revision>8</cp:revision>
  <cp:lastPrinted>2021-04-22T17:47:00Z</cp:lastPrinted>
  <dcterms:created xsi:type="dcterms:W3CDTF">2023-04-13T00:13:00Z</dcterms:created>
  <dcterms:modified xsi:type="dcterms:W3CDTF">2024-07-09T19:01:00Z</dcterms:modified>
</cp:coreProperties>
</file>